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CF" w:rsidRPr="006215BA" w:rsidRDefault="00D43C3D" w:rsidP="007B6978">
      <w:pPr>
        <w:spacing w:after="0" w:line="240" w:lineRule="auto"/>
        <w:rPr>
          <w:rFonts w:ascii="Century Gothic" w:eastAsia="Times New Roman" w:hAnsi="Century Gothic"/>
          <w:b/>
          <w:color w:val="1F3864" w:themeColor="accent1" w:themeShade="80"/>
          <w:sz w:val="24"/>
          <w:szCs w:val="24"/>
        </w:rPr>
      </w:pPr>
      <w:r w:rsidRPr="006215BA">
        <w:rPr>
          <w:rFonts w:ascii="Century Gothic" w:eastAsia="Times New Roman" w:hAnsi="Century Gothic"/>
          <w:b/>
          <w:color w:val="1F3864" w:themeColor="accent1" w:themeShade="80"/>
          <w:sz w:val="24"/>
          <w:szCs w:val="24"/>
        </w:rPr>
        <w:t xml:space="preserve">Learning Support </w:t>
      </w:r>
      <w:r w:rsidR="006215BA">
        <w:rPr>
          <w:rFonts w:ascii="Century Gothic" w:eastAsia="Times New Roman" w:hAnsi="Century Gothic"/>
          <w:b/>
          <w:color w:val="1F3864" w:themeColor="accent1" w:themeShade="80"/>
          <w:sz w:val="24"/>
          <w:szCs w:val="24"/>
        </w:rPr>
        <w:t xml:space="preserve">Team </w:t>
      </w:r>
      <w:bookmarkStart w:id="0" w:name="_GoBack"/>
      <w:bookmarkEnd w:id="0"/>
      <w:r w:rsidRPr="006215BA">
        <w:rPr>
          <w:rFonts w:ascii="Century Gothic" w:eastAsia="Times New Roman" w:hAnsi="Century Gothic"/>
          <w:b/>
          <w:color w:val="1F3864" w:themeColor="accent1" w:themeShade="80"/>
          <w:sz w:val="24"/>
          <w:szCs w:val="24"/>
        </w:rPr>
        <w:t>Core Offer</w:t>
      </w:r>
    </w:p>
    <w:p w:rsidR="00EA55CF" w:rsidRPr="0072173E" w:rsidRDefault="00EA55CF" w:rsidP="00EA55CF">
      <w:pPr>
        <w:pStyle w:val="Heading2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 w:rsidRPr="00455B60">
        <w:rPr>
          <w:rFonts w:ascii="Century Gothic" w:eastAsia="Times New Roman" w:hAnsi="Century Gothic"/>
          <w:b/>
          <w:color w:val="1F3864" w:themeColor="accent1" w:themeShade="80"/>
          <w:sz w:val="24"/>
          <w:szCs w:val="24"/>
        </w:rPr>
        <w:t>About us and what we do</w:t>
      </w:r>
    </w:p>
    <w:p w:rsidR="00EA55CF" w:rsidRPr="0072173E" w:rsidRDefault="00B15DDA" w:rsidP="00C06D4F">
      <w:pPr>
        <w:spacing w:after="0" w:line="240" w:lineRule="auto"/>
        <w:rPr>
          <w:rFonts w:ascii="Century Gothic" w:hAnsi="Century Gothic" w:cs="Arial"/>
          <w:color w:val="1F3864" w:themeColor="accent1" w:themeShade="80"/>
          <w:sz w:val="24"/>
          <w:szCs w:val="24"/>
        </w:rPr>
      </w:pPr>
      <w:r w:rsidRPr="0072173E">
        <w:rPr>
          <w:rFonts w:ascii="Century Gothic" w:hAnsi="Century Gothic" w:cs="Arial"/>
          <w:color w:val="1F3864" w:themeColor="accent1" w:themeShade="80"/>
          <w:sz w:val="24"/>
          <w:szCs w:val="24"/>
        </w:rPr>
        <w:t xml:space="preserve">The </w:t>
      </w:r>
      <w:r w:rsidR="00C06D4F" w:rsidRPr="0072173E">
        <w:rPr>
          <w:rFonts w:ascii="Century Gothic" w:hAnsi="Century Gothic" w:cs="Arial"/>
          <w:color w:val="1F3864" w:themeColor="accent1" w:themeShade="80"/>
          <w:sz w:val="24"/>
          <w:szCs w:val="24"/>
        </w:rPr>
        <w:t>Learning Support Team (LS</w:t>
      </w:r>
      <w:r w:rsidR="00836A84" w:rsidRPr="0072173E">
        <w:rPr>
          <w:rFonts w:ascii="Century Gothic" w:hAnsi="Century Gothic" w:cs="Arial"/>
          <w:color w:val="1F3864" w:themeColor="accent1" w:themeShade="80"/>
          <w:sz w:val="24"/>
          <w:szCs w:val="24"/>
        </w:rPr>
        <w:t>T</w:t>
      </w:r>
      <w:r w:rsidR="00C06D4F" w:rsidRPr="0072173E">
        <w:rPr>
          <w:rFonts w:ascii="Century Gothic" w:hAnsi="Century Gothic" w:cs="Arial"/>
          <w:color w:val="1F3864" w:themeColor="accent1" w:themeShade="80"/>
          <w:sz w:val="24"/>
          <w:szCs w:val="24"/>
        </w:rPr>
        <w:t>) provid</w:t>
      </w:r>
      <w:r w:rsidR="00D43C3D">
        <w:rPr>
          <w:rFonts w:ascii="Century Gothic" w:hAnsi="Century Gothic" w:cs="Arial"/>
          <w:color w:val="1F3864" w:themeColor="accent1" w:themeShade="80"/>
          <w:sz w:val="24"/>
          <w:szCs w:val="24"/>
        </w:rPr>
        <w:t xml:space="preserve">e </w:t>
      </w:r>
      <w:r w:rsidR="00C06D4F" w:rsidRPr="0072173E">
        <w:rPr>
          <w:rFonts w:ascii="Century Gothic" w:hAnsi="Century Gothic" w:cs="Arial"/>
          <w:color w:val="1F3864" w:themeColor="accent1" w:themeShade="80"/>
          <w:sz w:val="24"/>
          <w:szCs w:val="24"/>
        </w:rPr>
        <w:t>advice and support to children, families and education establishments across Leicestershire.</w:t>
      </w:r>
    </w:p>
    <w:p w:rsidR="00D43C3D" w:rsidRDefault="00836A84" w:rsidP="000F6B98">
      <w:pPr>
        <w:pStyle w:val="NormalWeb"/>
        <w:rPr>
          <w:rFonts w:ascii="Century Gothic" w:hAnsi="Century Gothic" w:cs="Arial"/>
          <w:color w:val="1F3864" w:themeColor="accent1" w:themeShade="80"/>
        </w:rPr>
      </w:pPr>
      <w:r w:rsidRPr="0072173E">
        <w:rPr>
          <w:rFonts w:ascii="Century Gothic" w:hAnsi="Century Gothic" w:cs="Arial"/>
          <w:color w:val="1F3864" w:themeColor="accent1" w:themeShade="80"/>
        </w:rPr>
        <w:t>A central part of the LST role is to</w:t>
      </w:r>
      <w:r w:rsidR="000F6B98" w:rsidRPr="0072173E">
        <w:rPr>
          <w:rFonts w:ascii="Century Gothic" w:hAnsi="Century Gothic" w:cs="Arial"/>
          <w:color w:val="1F3864" w:themeColor="accent1" w:themeShade="80"/>
        </w:rPr>
        <w:t xml:space="preserve"> </w:t>
      </w:r>
      <w:r w:rsidRPr="0072173E">
        <w:rPr>
          <w:rFonts w:ascii="Century Gothic" w:hAnsi="Century Gothic" w:cs="Arial"/>
          <w:color w:val="1F3864" w:themeColor="accent1" w:themeShade="80"/>
        </w:rPr>
        <w:t>offer free consultations to schools and FE providers to support them in meeting the needs of pupils who have persistent literacy and maths difficulties, including dyslexia and dyscalculia</w:t>
      </w:r>
      <w:r w:rsidR="000F6B98" w:rsidRPr="0072173E">
        <w:rPr>
          <w:rFonts w:ascii="Century Gothic" w:hAnsi="Century Gothic" w:cs="Arial"/>
          <w:color w:val="1F3864" w:themeColor="accent1" w:themeShade="80"/>
        </w:rPr>
        <w:t>.</w:t>
      </w:r>
      <w:r w:rsidRPr="0072173E">
        <w:rPr>
          <w:rFonts w:ascii="Century Gothic" w:hAnsi="Century Gothic" w:cs="Arial"/>
          <w:color w:val="1F3864" w:themeColor="accent1" w:themeShade="80"/>
        </w:rPr>
        <w:t xml:space="preserve"> Schools are provided with support from</w:t>
      </w:r>
      <w:r w:rsidR="006F6C1F" w:rsidRPr="0072173E">
        <w:rPr>
          <w:rFonts w:ascii="Century Gothic" w:hAnsi="Century Gothic" w:cs="Arial"/>
          <w:color w:val="1F3864" w:themeColor="accent1" w:themeShade="80"/>
        </w:rPr>
        <w:t xml:space="preserve"> </w:t>
      </w:r>
      <w:r w:rsidR="00C06D4F" w:rsidRPr="0072173E">
        <w:rPr>
          <w:rFonts w:ascii="Century Gothic" w:hAnsi="Century Gothic" w:cs="Arial"/>
          <w:color w:val="1F3864" w:themeColor="accent1" w:themeShade="80"/>
        </w:rPr>
        <w:t>specialist</w:t>
      </w:r>
      <w:r w:rsidRPr="0072173E">
        <w:rPr>
          <w:rFonts w:ascii="Century Gothic" w:hAnsi="Century Gothic" w:cs="Arial"/>
          <w:color w:val="1F3864" w:themeColor="accent1" w:themeShade="80"/>
        </w:rPr>
        <w:t xml:space="preserve"> advisory teachers</w:t>
      </w:r>
      <w:r w:rsidR="006F6C1F" w:rsidRPr="0072173E">
        <w:rPr>
          <w:rFonts w:ascii="Century Gothic" w:hAnsi="Century Gothic" w:cs="Arial"/>
          <w:color w:val="1F3864" w:themeColor="accent1" w:themeShade="80"/>
        </w:rPr>
        <w:t xml:space="preserve"> </w:t>
      </w:r>
      <w:r w:rsidR="000F6B98" w:rsidRPr="0072173E">
        <w:rPr>
          <w:rFonts w:ascii="Century Gothic" w:hAnsi="Century Gothic" w:cs="Arial"/>
          <w:color w:val="1F3864" w:themeColor="accent1" w:themeShade="80"/>
        </w:rPr>
        <w:t xml:space="preserve">who are </w:t>
      </w:r>
      <w:r w:rsidRPr="0072173E">
        <w:rPr>
          <w:rFonts w:ascii="Century Gothic" w:hAnsi="Century Gothic" w:cs="Arial"/>
          <w:color w:val="1F3864" w:themeColor="accent1" w:themeShade="80"/>
        </w:rPr>
        <w:t xml:space="preserve">qualified and experienced in </w:t>
      </w:r>
      <w:r w:rsidR="006F6C1F" w:rsidRPr="0072173E">
        <w:rPr>
          <w:rFonts w:ascii="Century Gothic" w:hAnsi="Century Gothic" w:cs="Arial"/>
          <w:color w:val="1F3864" w:themeColor="accent1" w:themeShade="80"/>
        </w:rPr>
        <w:t xml:space="preserve">assessing and teaching pupils with </w:t>
      </w:r>
      <w:r w:rsidRPr="0072173E">
        <w:rPr>
          <w:rFonts w:ascii="Century Gothic" w:hAnsi="Century Gothic" w:cs="Arial"/>
          <w:color w:val="1F3864" w:themeColor="accent1" w:themeShade="80"/>
        </w:rPr>
        <w:t xml:space="preserve">specific </w:t>
      </w:r>
      <w:r w:rsidR="006F6C1F" w:rsidRPr="0072173E">
        <w:rPr>
          <w:rFonts w:ascii="Century Gothic" w:hAnsi="Century Gothic" w:cs="Arial"/>
          <w:color w:val="1F3864" w:themeColor="accent1" w:themeShade="80"/>
        </w:rPr>
        <w:t xml:space="preserve">learning difficulties. </w:t>
      </w:r>
    </w:p>
    <w:p w:rsidR="00DE4854" w:rsidRDefault="00D43C3D" w:rsidP="00D43C3D">
      <w:p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 w:rsidRPr="0072173E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Through bespoke consultations and forums</w:t>
      </w:r>
      <w:r w:rsidR="006215BA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(free)</w:t>
      </w:r>
      <w:r w:rsidRPr="0072173E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, and </w:t>
      </w:r>
      <w:r w:rsid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through </w:t>
      </w:r>
      <w:r w:rsidRPr="0072173E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training</w:t>
      </w:r>
      <w:r w:rsidR="006215BA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(charged)</w:t>
      </w:r>
      <w:r w:rsidRPr="0072173E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, LST can support schools to</w:t>
      </w:r>
      <w:r w:rsid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:</w:t>
      </w:r>
    </w:p>
    <w:p w:rsidR="00DE4854" w:rsidRDefault="00D43C3D" w:rsidP="00DE485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understand specific learning difficulties like dyslexia and dyscalculia</w:t>
      </w:r>
    </w:p>
    <w:p w:rsidR="00DE4854" w:rsidRDefault="00D43C3D" w:rsidP="00DE4854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proofErr w:type="gramStart"/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mak</w:t>
      </w:r>
      <w:r w:rsid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e</w:t>
      </w:r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adjustments to</w:t>
      </w:r>
      <w:proofErr w:type="gramEnd"/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teaching and learning to meet the needs of young people with additional </w:t>
      </w:r>
      <w:r w:rsid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learning </w:t>
      </w:r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needs </w:t>
      </w:r>
    </w:p>
    <w:p w:rsidR="00DE4854" w:rsidRDefault="00DE4854" w:rsidP="00D43C3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put </w:t>
      </w:r>
      <w:r w:rsidR="00D43C3D"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systems in place to identify 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learning </w:t>
      </w:r>
      <w:r w:rsidR="00D43C3D"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needs and evidence adjustments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–</w:t>
      </w:r>
      <w:r w:rsidR="00D43C3D"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respond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ing </w:t>
      </w:r>
      <w:r w:rsidR="00D43C3D"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to learning difficulties through a graduated response to need </w:t>
      </w:r>
    </w:p>
    <w:p w:rsidR="00DE4854" w:rsidRDefault="00D43C3D" w:rsidP="00D43C3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creat</w:t>
      </w:r>
      <w:r w:rsid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e </w:t>
      </w:r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learning profiles - exploring both the difficulty, the impact on the learner including on wellbeing</w:t>
      </w:r>
      <w:r w:rsid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,</w:t>
      </w:r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and assessment</w:t>
      </w:r>
    </w:p>
    <w:p w:rsidR="00DE4854" w:rsidRDefault="00D43C3D" w:rsidP="00D43C3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intervention</w:t>
      </w:r>
      <w:r w:rsid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– </w:t>
      </w:r>
      <w:r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beyond the mainstream</w:t>
      </w:r>
    </w:p>
    <w:p w:rsidR="00DE4854" w:rsidRDefault="00DE4854" w:rsidP="00D43C3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understand the learning needs of a named child/student</w:t>
      </w:r>
    </w:p>
    <w:p w:rsidR="00D43C3D" w:rsidRDefault="00DE4854" w:rsidP="00D43C3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investigate </w:t>
      </w:r>
      <w:r w:rsidR="00D43C3D" w:rsidRPr="00DE4854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other areas of teaching and learning that the SENCO/ inclusion manager may wish to discuss</w:t>
      </w:r>
    </w:p>
    <w:p w:rsidR="00DE4854" w:rsidRDefault="00DE4854" w:rsidP="00DE4854">
      <w:pPr>
        <w:pStyle w:val="ListParagraph"/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</w:p>
    <w:p w:rsidR="00215433" w:rsidRPr="00455B60" w:rsidRDefault="00EA55CF" w:rsidP="000F6B98">
      <w:pPr>
        <w:pStyle w:val="Heading2"/>
        <w:rPr>
          <w:rFonts w:ascii="Century Gothic" w:eastAsia="Times New Roman" w:hAnsi="Century Gothic"/>
          <w:b/>
          <w:color w:val="1F3864" w:themeColor="accent1" w:themeShade="80"/>
          <w:sz w:val="24"/>
          <w:szCs w:val="24"/>
        </w:rPr>
      </w:pPr>
      <w:r w:rsidRPr="00455B60">
        <w:rPr>
          <w:rFonts w:ascii="Century Gothic" w:eastAsia="Times New Roman" w:hAnsi="Century Gothic"/>
          <w:b/>
          <w:color w:val="1F3864" w:themeColor="accent1" w:themeShade="80"/>
          <w:sz w:val="24"/>
          <w:szCs w:val="24"/>
        </w:rPr>
        <w:t>Accessing our support</w:t>
      </w:r>
    </w:p>
    <w:p w:rsidR="000F6B98" w:rsidRPr="0072173E" w:rsidRDefault="000C6BCC" w:rsidP="00720B33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72173E">
        <w:rPr>
          <w:rFonts w:ascii="Century Gothic" w:hAnsi="Century Gothic"/>
          <w:color w:val="1F3864" w:themeColor="accent1" w:themeShade="80"/>
          <w:sz w:val="24"/>
          <w:szCs w:val="24"/>
        </w:rPr>
        <w:t>L</w:t>
      </w:r>
      <w:r w:rsidR="006576CA"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ST </w:t>
      </w:r>
      <w:r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provides advice to </w:t>
      </w:r>
      <w:r w:rsidR="00B15DDA"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schools and </w:t>
      </w:r>
      <w:r w:rsidR="00836A84"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FE providers </w:t>
      </w:r>
      <w:r w:rsidR="00215433" w:rsidRPr="006215BA">
        <w:rPr>
          <w:rFonts w:ascii="Century Gothic" w:hAnsi="Century Gothic"/>
          <w:b/>
          <w:color w:val="1F3864" w:themeColor="accent1" w:themeShade="80"/>
          <w:sz w:val="24"/>
          <w:szCs w:val="24"/>
        </w:rPr>
        <w:t>only</w:t>
      </w:r>
      <w:r w:rsidR="00836A84" w:rsidRPr="0072173E">
        <w:rPr>
          <w:rFonts w:ascii="Century Gothic" w:hAnsi="Century Gothic"/>
          <w:color w:val="1F3864" w:themeColor="accent1" w:themeShade="80"/>
          <w:sz w:val="24"/>
          <w:szCs w:val="24"/>
        </w:rPr>
        <w:t>; LS</w:t>
      </w:r>
      <w:r w:rsidR="006576CA" w:rsidRPr="0072173E">
        <w:rPr>
          <w:rFonts w:ascii="Century Gothic" w:hAnsi="Century Gothic"/>
          <w:color w:val="1F3864" w:themeColor="accent1" w:themeShade="80"/>
          <w:sz w:val="24"/>
          <w:szCs w:val="24"/>
        </w:rPr>
        <w:t>T</w:t>
      </w:r>
      <w:r w:rsidR="006F6C1F"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 do not work directly with parents and </w:t>
      </w:r>
      <w:r w:rsidR="006215BA">
        <w:rPr>
          <w:rFonts w:ascii="Century Gothic" w:hAnsi="Century Gothic"/>
          <w:color w:val="1F3864" w:themeColor="accent1" w:themeShade="80"/>
          <w:sz w:val="24"/>
          <w:szCs w:val="24"/>
        </w:rPr>
        <w:t>young people</w:t>
      </w:r>
      <w:r w:rsidR="006F6C1F" w:rsidRPr="0072173E">
        <w:rPr>
          <w:rFonts w:ascii="Century Gothic" w:hAnsi="Century Gothic"/>
          <w:color w:val="1F3864" w:themeColor="accent1" w:themeShade="80"/>
          <w:sz w:val="24"/>
          <w:szCs w:val="24"/>
        </w:rPr>
        <w:t>.</w:t>
      </w:r>
      <w:r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 Every school </w:t>
      </w:r>
      <w:r w:rsidR="00836A84"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/ FE provider </w:t>
      </w:r>
      <w:r w:rsidR="009C2C67" w:rsidRPr="0072173E">
        <w:rPr>
          <w:rFonts w:ascii="Century Gothic" w:hAnsi="Century Gothic"/>
          <w:color w:val="1F3864" w:themeColor="accent1" w:themeShade="80"/>
          <w:sz w:val="24"/>
          <w:szCs w:val="24"/>
        </w:rPr>
        <w:t>i</w:t>
      </w:r>
      <w:r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s entitled to 2 hours of FREE </w:t>
      </w:r>
      <w:r w:rsidR="000F6B98" w:rsidRPr="0072173E">
        <w:rPr>
          <w:rFonts w:ascii="Century Gothic" w:hAnsi="Century Gothic"/>
          <w:color w:val="1F3864" w:themeColor="accent1" w:themeShade="80"/>
          <w:sz w:val="24"/>
          <w:szCs w:val="24"/>
        </w:rPr>
        <w:t>c</w:t>
      </w:r>
      <w:r w:rsidRPr="0072173E">
        <w:rPr>
          <w:rFonts w:ascii="Century Gothic" w:hAnsi="Century Gothic"/>
          <w:color w:val="1F3864" w:themeColor="accent1" w:themeShade="80"/>
          <w:sz w:val="24"/>
          <w:szCs w:val="24"/>
        </w:rPr>
        <w:t>onsultation annually</w:t>
      </w:r>
      <w:r w:rsidR="009C2C67" w:rsidRPr="0072173E">
        <w:rPr>
          <w:rFonts w:ascii="Century Gothic" w:hAnsi="Century Gothic"/>
          <w:color w:val="1F3864" w:themeColor="accent1" w:themeShade="80"/>
          <w:sz w:val="24"/>
          <w:szCs w:val="24"/>
        </w:rPr>
        <w:t>.</w:t>
      </w:r>
    </w:p>
    <w:p w:rsidR="00DE4854" w:rsidRDefault="00837B4F" w:rsidP="00837B4F">
      <w:p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 w:rsidRPr="0072173E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Schools </w:t>
      </w:r>
      <w:r w:rsidR="006576CA" w:rsidRPr="0072173E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/ FE providers </w:t>
      </w:r>
      <w:r w:rsidRPr="0072173E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can choose to ‘pool’ their consultation hours to create a forum; the forum lead would then set up and lead the meetings. </w:t>
      </w:r>
    </w:p>
    <w:p w:rsidR="00DE4854" w:rsidRDefault="00DE4854" w:rsidP="00DE4854">
      <w:pPr>
        <w:pStyle w:val="ListParagraph"/>
        <w:spacing w:after="0" w:line="240" w:lineRule="auto"/>
        <w:ind w:left="0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The coverage of information during 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‘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training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’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is very similar to that covered in consultations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/forums – especially since we are no</w:t>
      </w:r>
      <w:r w:rsidR="006215BA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w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online</w:t>
      </w:r>
      <w:r w:rsidR="006215BA"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(currently)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. So, if schools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choose to 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‘pool’ their hours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>,</w:t>
      </w:r>
      <w:r>
        <w:rPr>
          <w:rFonts w:ascii="Century Gothic" w:eastAsia="Times New Roman" w:hAnsi="Century Gothic"/>
          <w:color w:val="1F3864" w:themeColor="accent1" w:themeShade="80"/>
          <w:sz w:val="24"/>
          <w:szCs w:val="24"/>
        </w:rPr>
        <w:t xml:space="preserve"> they are in effect getting lots of free training. </w:t>
      </w:r>
    </w:p>
    <w:p w:rsidR="00837B4F" w:rsidRPr="0072173E" w:rsidRDefault="00837B4F" w:rsidP="00720B33">
      <w:pPr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:rsidR="006532F4" w:rsidRPr="006532F4" w:rsidRDefault="00A46D1D" w:rsidP="006532F4">
      <w:pPr>
        <w:rPr>
          <w:rFonts w:ascii="Century Gothic" w:hAnsi="Century Gothic"/>
          <w:color w:val="ED7D31" w:themeColor="accent2"/>
          <w:sz w:val="24"/>
          <w:szCs w:val="24"/>
        </w:rPr>
      </w:pPr>
      <w:r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To find out about what LST currently have on offer, and to book consultation </w:t>
      </w:r>
      <w:r w:rsidR="00837B4F"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or forum dates </w:t>
      </w:r>
      <w:r w:rsidRPr="0072173E">
        <w:rPr>
          <w:rFonts w:ascii="Century Gothic" w:hAnsi="Century Gothic"/>
          <w:color w:val="1F3864" w:themeColor="accent1" w:themeShade="80"/>
          <w:sz w:val="24"/>
          <w:szCs w:val="24"/>
        </w:rPr>
        <w:t xml:space="preserve">please go to </w:t>
      </w:r>
      <w:r w:rsidRPr="0072173E">
        <w:rPr>
          <w:rFonts w:ascii="Century Gothic" w:hAnsi="Century Gothic"/>
          <w:color w:val="ED7D31" w:themeColor="accent2"/>
          <w:sz w:val="24"/>
          <w:szCs w:val="24"/>
        </w:rPr>
        <w:t>Eventbrite</w:t>
      </w:r>
      <w:r w:rsidR="006532F4">
        <w:rPr>
          <w:rFonts w:ascii="Century Gothic" w:hAnsi="Century Gothic"/>
          <w:color w:val="ED7D31" w:themeColor="accent2"/>
          <w:sz w:val="24"/>
          <w:szCs w:val="24"/>
        </w:rPr>
        <w:t>:</w:t>
      </w:r>
      <w:r w:rsidR="006532F4" w:rsidRPr="006532F4">
        <w:rPr>
          <w:rFonts w:ascii="Calibri" w:hAnsi="Calibri" w:cs="Calibri"/>
        </w:rPr>
        <w:t xml:space="preserve"> </w:t>
      </w:r>
    </w:p>
    <w:p w:rsidR="006532F4" w:rsidRPr="006532F4" w:rsidRDefault="006215BA" w:rsidP="006532F4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hyperlink r:id="rId5" w:history="1">
        <w:r w:rsidR="006532F4" w:rsidRPr="006532F4">
          <w:rPr>
            <w:rStyle w:val="Hyperlink"/>
            <w:rFonts w:ascii="Century Gothic" w:hAnsi="Century Gothic"/>
            <w:color w:val="1F3864" w:themeColor="accent1" w:themeShade="80"/>
            <w:sz w:val="24"/>
            <w:szCs w:val="24"/>
          </w:rPr>
          <w:t>https://www.eventbrite.co.uk/o/the-learning-support-team-leicestershire-specialist-teaching-service-19420354499</w:t>
        </w:r>
      </w:hyperlink>
    </w:p>
    <w:p w:rsidR="000F5067" w:rsidRPr="006215BA" w:rsidRDefault="00A46D1D" w:rsidP="006215BA">
      <w:pPr>
        <w:rPr>
          <w:rFonts w:ascii="Century Gothic" w:hAnsi="Century Gothic"/>
          <w:color w:val="ED7D31" w:themeColor="accent2"/>
          <w:sz w:val="24"/>
          <w:szCs w:val="24"/>
        </w:rPr>
      </w:pPr>
      <w:r w:rsidRPr="007B6978">
        <w:rPr>
          <w:rFonts w:ascii="Century Gothic" w:hAnsi="Century Gothic"/>
          <w:color w:val="1F3864" w:themeColor="accent1" w:themeShade="80"/>
          <w:sz w:val="24"/>
          <w:szCs w:val="24"/>
        </w:rPr>
        <w:t>Alternatively, c</w:t>
      </w:r>
      <w:r w:rsidR="000C6BCC" w:rsidRPr="007B6978">
        <w:rPr>
          <w:rFonts w:ascii="Century Gothic" w:hAnsi="Century Gothic"/>
          <w:color w:val="1F3864" w:themeColor="accent1" w:themeShade="80"/>
          <w:sz w:val="24"/>
          <w:szCs w:val="24"/>
        </w:rPr>
        <w:t>ontac</w:t>
      </w:r>
      <w:r w:rsidR="00353EBE" w:rsidRPr="007B6978">
        <w:rPr>
          <w:rFonts w:ascii="Century Gothic" w:hAnsi="Century Gothic"/>
          <w:color w:val="1F3864" w:themeColor="accent1" w:themeShade="80"/>
          <w:sz w:val="24"/>
          <w:szCs w:val="24"/>
        </w:rPr>
        <w:t>t:</w:t>
      </w:r>
      <w:r w:rsidR="00353EBE" w:rsidRPr="0072173E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 </w:t>
      </w:r>
      <w:hyperlink r:id="rId6" w:history="1">
        <w:r w:rsidR="000F6B98" w:rsidRPr="0072173E">
          <w:rPr>
            <w:rStyle w:val="Hyperlink"/>
            <w:rFonts w:ascii="Century Gothic" w:hAnsi="Century Gothic"/>
            <w:b w:val="0"/>
            <w:color w:val="1F3864" w:themeColor="accent1" w:themeShade="80"/>
            <w:sz w:val="24"/>
            <w:szCs w:val="24"/>
          </w:rPr>
          <w:t>LSSCoreOffer@leics.gov.uk</w:t>
        </w:r>
      </w:hyperlink>
      <w:r w:rsidR="000F6B98" w:rsidRPr="0072173E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 </w:t>
      </w:r>
      <w:r w:rsidR="000C6BCC" w:rsidRPr="0072173E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 </w:t>
      </w:r>
    </w:p>
    <w:p w:rsidR="00EA55CF" w:rsidRPr="0072173E" w:rsidRDefault="00EA55CF" w:rsidP="00EA55CF">
      <w:pPr>
        <w:spacing w:after="0" w:line="240" w:lineRule="auto"/>
        <w:rPr>
          <w:rFonts w:ascii="Century Gothic" w:eastAsia="Times New Roman" w:hAnsi="Century Gothic"/>
          <w:color w:val="1F3864" w:themeColor="accent1" w:themeShade="80"/>
          <w:sz w:val="24"/>
          <w:szCs w:val="24"/>
        </w:rPr>
      </w:pPr>
    </w:p>
    <w:sectPr w:rsidR="00EA55CF" w:rsidRPr="0072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1AC"/>
    <w:multiLevelType w:val="hybridMultilevel"/>
    <w:tmpl w:val="4122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761"/>
    <w:multiLevelType w:val="hybridMultilevel"/>
    <w:tmpl w:val="6368F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123D"/>
    <w:multiLevelType w:val="hybridMultilevel"/>
    <w:tmpl w:val="C91E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A64AF"/>
    <w:multiLevelType w:val="hybridMultilevel"/>
    <w:tmpl w:val="FACC2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6592E"/>
    <w:multiLevelType w:val="hybridMultilevel"/>
    <w:tmpl w:val="1888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37D1B"/>
    <w:multiLevelType w:val="hybridMultilevel"/>
    <w:tmpl w:val="ABA2D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CF"/>
    <w:rsid w:val="00003A49"/>
    <w:rsid w:val="00060191"/>
    <w:rsid w:val="000B2E68"/>
    <w:rsid w:val="000C6BCC"/>
    <w:rsid w:val="000F5067"/>
    <w:rsid w:val="000F6B98"/>
    <w:rsid w:val="00133431"/>
    <w:rsid w:val="001E231D"/>
    <w:rsid w:val="001E4ED2"/>
    <w:rsid w:val="001F2178"/>
    <w:rsid w:val="00201785"/>
    <w:rsid w:val="00215433"/>
    <w:rsid w:val="00256C70"/>
    <w:rsid w:val="002B0BA0"/>
    <w:rsid w:val="002D147A"/>
    <w:rsid w:val="00353EBE"/>
    <w:rsid w:val="003F2BB9"/>
    <w:rsid w:val="00415D74"/>
    <w:rsid w:val="00455B60"/>
    <w:rsid w:val="004B2C3C"/>
    <w:rsid w:val="004C2CCC"/>
    <w:rsid w:val="00597C00"/>
    <w:rsid w:val="005F2A35"/>
    <w:rsid w:val="006215BA"/>
    <w:rsid w:val="006532F4"/>
    <w:rsid w:val="006576CA"/>
    <w:rsid w:val="006B778C"/>
    <w:rsid w:val="006F6C1F"/>
    <w:rsid w:val="007153B2"/>
    <w:rsid w:val="00720B33"/>
    <w:rsid w:val="0072173E"/>
    <w:rsid w:val="00744833"/>
    <w:rsid w:val="007B6978"/>
    <w:rsid w:val="007F6693"/>
    <w:rsid w:val="00836A84"/>
    <w:rsid w:val="00837B4F"/>
    <w:rsid w:val="008C3F75"/>
    <w:rsid w:val="009C2C67"/>
    <w:rsid w:val="00A46D1D"/>
    <w:rsid w:val="00B15DDA"/>
    <w:rsid w:val="00C06D4F"/>
    <w:rsid w:val="00C57A25"/>
    <w:rsid w:val="00C77F38"/>
    <w:rsid w:val="00C8038F"/>
    <w:rsid w:val="00D43C3D"/>
    <w:rsid w:val="00DE4854"/>
    <w:rsid w:val="00E520C6"/>
    <w:rsid w:val="00EA55CF"/>
    <w:rsid w:val="00EF4C53"/>
    <w:rsid w:val="00EF5B9D"/>
    <w:rsid w:val="00F87149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7708"/>
  <w15:chartTrackingRefBased/>
  <w15:docId w15:val="{D07CA182-83DF-481E-9F98-EC965E13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5CF"/>
  </w:style>
  <w:style w:type="paragraph" w:styleId="Heading1">
    <w:name w:val="heading 1"/>
    <w:basedOn w:val="Normal"/>
    <w:next w:val="Normal"/>
    <w:link w:val="Heading1Char"/>
    <w:uiPriority w:val="9"/>
    <w:qFormat/>
    <w:rsid w:val="00EA5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5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A55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1E4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D4F"/>
    <w:rPr>
      <w:b/>
      <w:bCs/>
      <w:strike w:val="0"/>
      <w:dstrike w:val="0"/>
      <w:color w:val="21793B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0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017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SCoreOffer@leics.gov.uk" TargetMode="External"/><Relationship Id="rId5" Type="http://schemas.openxmlformats.org/officeDocument/2006/relationships/hyperlink" Target="https://www.eventbrite.co.uk/o/the-learning-support-team-leicestershire-specialist-teaching-service-194203544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McDonald</dc:creator>
  <cp:keywords/>
  <dc:description/>
  <cp:lastModifiedBy>Charlie Pitt-Miller</cp:lastModifiedBy>
  <cp:revision>3</cp:revision>
  <dcterms:created xsi:type="dcterms:W3CDTF">2020-06-16T12:06:00Z</dcterms:created>
  <dcterms:modified xsi:type="dcterms:W3CDTF">2020-06-16T12:25:00Z</dcterms:modified>
</cp:coreProperties>
</file>